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2"/>
          <w:szCs w:val="22"/>
          <w:lang w:eastAsia="ru-RU"/>
        </w:rPr>
      </w:pPr>
      <w:r>
        <w:rPr/>
        <w:drawing>
          <wp:inline distT="0" distB="0" distL="0" distR="0">
            <wp:extent cx="561975" cy="904875"/>
            <wp:effectExtent l="0" t="0" r="0" b="0"/>
            <wp:docPr id="1" name="Рисунок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/>
      </w:pPr>
      <w:r>
        <w:rPr/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t>Дума  городского  округа  Красноуральск</w:t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t>восьмого созыва</w:t>
      </w:r>
    </w:p>
    <w:p>
      <w:pPr>
        <w:pStyle w:val="Normal"/>
        <w:numPr>
          <w:ilvl w:val="0"/>
          <w:numId w:val="0"/>
        </w:numPr>
        <w:ind w:left="0" w:hanging="0"/>
        <w:jc w:val="right"/>
        <w:outlineLvl w:val="0"/>
        <w:rPr>
          <w:b/>
          <w:bCs/>
          <w:sz w:val="28"/>
          <w:szCs w:val="28"/>
          <w:lang w:val="ru-RU"/>
        </w:rPr>
      </w:pPr>
      <w:r>
        <w:rPr/>
      </w:r>
    </w:p>
    <w:p>
      <w:pPr>
        <w:pStyle w:val="Normal"/>
        <w:numPr>
          <w:ilvl w:val="0"/>
          <w:numId w:val="0"/>
        </w:numPr>
        <w:ind w:left="0" w:hanging="0"/>
        <w:jc w:val="left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</w:t>
      </w:r>
      <w:r>
        <w:rPr>
          <w:b/>
          <w:bCs/>
          <w:sz w:val="28"/>
          <w:szCs w:val="28"/>
        </w:rPr>
        <w:t xml:space="preserve">РЕШЕНИЕ                                     </w:t>
        <w:tab/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behindDoc="0" distT="11430" distB="11430" distL="11430" distR="11430" simplePos="0" locked="0" layoutInCell="1" allowOverlap="1" relativeHeight="3">
                <wp:simplePos x="0" y="0"/>
                <wp:positionH relativeFrom="column">
                  <wp:posOffset>0</wp:posOffset>
                </wp:positionH>
                <wp:positionV relativeFrom="paragraph">
                  <wp:posOffset>93345</wp:posOffset>
                </wp:positionV>
                <wp:extent cx="6057900" cy="0"/>
                <wp:effectExtent l="11430" t="11430" r="11430" b="11430"/>
                <wp:wrapNone/>
                <wp:docPr id="2" name="Прямая соединительная линия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8080" cy="0"/>
                        </a:xfrm>
                        <a:prstGeom prst="line">
                          <a:avLst/>
                        </a:prstGeom>
                        <a:ln w="22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7.35pt" to="476.95pt,7.35pt" ID="Прямая соединительная линия 6" stroked="t" o:allowincell="f" style="position:absolute">
                <v:stroke color="black" weight="22320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635" distB="635" distL="635" distR="635" simplePos="0" locked="0" layoutInCell="1" allowOverlap="1" relativeHeight="4">
                <wp:simplePos x="0" y="0"/>
                <wp:positionH relativeFrom="column">
                  <wp:posOffset>0</wp:posOffset>
                </wp:positionH>
                <wp:positionV relativeFrom="paragraph">
                  <wp:posOffset>133350</wp:posOffset>
                </wp:positionV>
                <wp:extent cx="6057900" cy="0"/>
                <wp:effectExtent l="635" t="635" r="635" b="635"/>
                <wp:wrapNone/>
                <wp:docPr id="3" name="Прямая соединительная линия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808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10.5pt" to="476.95pt,10.5pt" ID="Прямая соединительная линия 5" stroked="t" o:allowincell="f" style="position:absolute">
                <v:stroke color="black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Style21"/>
        <w:spacing w:lineRule="auto" w:line="276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Style21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от   </w:t>
      </w:r>
      <w:r>
        <w:rPr>
          <w:rFonts w:cs="Times New Roman" w:ascii="Times New Roman" w:hAnsi="Times New Roman"/>
          <w:sz w:val="26"/>
          <w:szCs w:val="26"/>
        </w:rPr>
        <w:t>22</w:t>
      </w:r>
      <w:r>
        <w:rPr>
          <w:rFonts w:cs="Times New Roman" w:ascii="Times New Roman" w:hAnsi="Times New Roman"/>
          <w:sz w:val="26"/>
          <w:szCs w:val="26"/>
        </w:rPr>
        <w:t xml:space="preserve"> июня 2023 года  № </w:t>
      </w:r>
      <w:r>
        <w:rPr>
          <w:rFonts w:cs="Times New Roman" w:ascii="Times New Roman" w:hAnsi="Times New Roman"/>
          <w:sz w:val="26"/>
          <w:szCs w:val="26"/>
        </w:rPr>
        <w:t>75</w:t>
      </w:r>
    </w:p>
    <w:p>
      <w:pPr>
        <w:pStyle w:val="Normal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город Красноуральск</w:t>
      </w:r>
    </w:p>
    <w:p>
      <w:pPr>
        <w:pStyle w:val="Normal"/>
        <w:jc w:val="center"/>
        <w:rPr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 утверждении примерного плана работы Думы городского округа Красноуральск на </w:t>
      </w:r>
      <w:r>
        <w:rPr>
          <w:b/>
          <w:sz w:val="26"/>
          <w:szCs w:val="26"/>
          <w:lang w:val="en-US"/>
        </w:rPr>
        <w:t>II</w:t>
      </w:r>
      <w:r>
        <w:rPr>
          <w:b/>
          <w:sz w:val="26"/>
          <w:szCs w:val="26"/>
        </w:rPr>
        <w:t xml:space="preserve"> полугодие 2023 года, графика приема граждан по месту жительства депутатами Думы городского округа Красноуральск на </w:t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II</w:t>
      </w:r>
      <w:r>
        <w:rPr>
          <w:b/>
          <w:sz w:val="26"/>
          <w:szCs w:val="26"/>
        </w:rPr>
        <w:t xml:space="preserve"> полугодие 2023 года, графика проведения «горячих линий» депутатами </w:t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Думы городского округа Красноуральск на </w:t>
      </w:r>
      <w:r>
        <w:rPr>
          <w:b/>
          <w:sz w:val="26"/>
          <w:szCs w:val="26"/>
          <w:lang w:val="en-US"/>
        </w:rPr>
        <w:t>II</w:t>
      </w:r>
      <w:r>
        <w:rPr>
          <w:b/>
          <w:sz w:val="26"/>
          <w:szCs w:val="26"/>
        </w:rPr>
        <w:t xml:space="preserve"> полугодие 2023 года</w:t>
      </w:r>
    </w:p>
    <w:p>
      <w:pPr>
        <w:pStyle w:val="Normal"/>
        <w:jc w:val="center"/>
        <w:rPr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Spacing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Регламентом Думы городского округа Красноуральск, утвержденным решением Думы городского округа Красноуральск от 23 ноября 2017 года № 54 (с изменениями, внесенными решением Думы городского округа Красноуральск от 26 сентября 2019 года № 206, от 27 февраля 2020 года № 227, от 17 декабря 2020 года 264), рассмотрев предложения органов местного самоуправления городского округа Красноуральск, постоянных комиссий и депутатов Думы городского округа Красноуральск, руководствуясь статьёй 23 Устава городского округа Красноуральск, Дума городского округа Красноуральск</w:t>
      </w:r>
    </w:p>
    <w:p>
      <w:pPr>
        <w:pStyle w:val="Normal"/>
        <w:ind w:firstLine="90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ConsTitle"/>
        <w:widowControl/>
        <w:ind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>
      <w:pPr>
        <w:pStyle w:val="Normal"/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134" w:leader="none"/>
        </w:tabs>
        <w:suppressAutoHyphens w:val="true"/>
        <w:ind w:left="0" w:firstLine="709"/>
        <w:jc w:val="both"/>
        <w:rPr/>
      </w:pPr>
      <w:r>
        <w:rPr>
          <w:sz w:val="26"/>
          <w:szCs w:val="26"/>
        </w:rPr>
        <w:t xml:space="preserve">Утвердить примерный план работы Думы городского округа Красноуральск на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>I полугодие 2023 года (приложение 1).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134" w:leader="none"/>
        </w:tabs>
        <w:suppressAutoHyphens w:val="true"/>
        <w:ind w:left="0" w:firstLine="709"/>
        <w:jc w:val="both"/>
        <w:rPr/>
      </w:pPr>
      <w:r>
        <w:rPr>
          <w:sz w:val="26"/>
          <w:szCs w:val="26"/>
        </w:rPr>
        <w:t xml:space="preserve">Утвердить график приема граждан по месту жительства депутатами Думы городского округа Красноуральск на </w:t>
      </w: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полугодие 2023 года (приложение 2).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134" w:leader="none"/>
        </w:tabs>
        <w:suppressAutoHyphens w:val="true"/>
        <w:ind w:left="0" w:firstLine="709"/>
        <w:jc w:val="both"/>
        <w:rPr/>
      </w:pPr>
      <w:r>
        <w:rPr>
          <w:sz w:val="26"/>
          <w:szCs w:val="26"/>
        </w:rPr>
        <w:t xml:space="preserve">Утвердить график проведения «горячих линий» депутатами Думы городского округа Красноуральск на </w:t>
      </w: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полугодие 2023 года (приложение 3).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134" w:leader="none"/>
        </w:tabs>
        <w:suppressAutoHyphens w:val="true"/>
        <w:ind w:left="0" w:firstLine="709"/>
        <w:jc w:val="both"/>
        <w:rPr/>
      </w:pPr>
      <w:r>
        <w:rPr>
          <w:sz w:val="26"/>
          <w:szCs w:val="26"/>
        </w:rPr>
        <w:t>Настоящее решение вступает в силу с момента его принятия.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134" w:leader="none"/>
        </w:tabs>
        <w:suppressAutoHyphens w:val="true"/>
        <w:ind w:left="0" w:firstLine="709"/>
        <w:jc w:val="both"/>
        <w:rPr/>
      </w:pPr>
      <w:r>
        <w:rPr>
          <w:sz w:val="26"/>
          <w:szCs w:val="26"/>
        </w:rPr>
        <w:t>Настоящее решение опубликовать в газете «Красноуральский рабочий» и разместить на официальном сайте Думы городского округа Красноуральск в сети «Интернет» (</w:t>
      </w:r>
      <w:hyperlink r:id="rId3">
        <w:r>
          <w:rPr>
            <w:color w:val="auto"/>
            <w:sz w:val="26"/>
            <w:szCs w:val="26"/>
            <w:u w:val="none"/>
            <w:lang w:val="en-US"/>
          </w:rPr>
          <w:t>http</w:t>
        </w:r>
        <w:r>
          <w:rPr>
            <w:color w:val="auto"/>
            <w:sz w:val="26"/>
            <w:szCs w:val="26"/>
            <w:u w:val="none"/>
          </w:rPr>
          <w:t>://</w:t>
        </w:r>
        <w:r>
          <w:rPr>
            <w:color w:val="auto"/>
            <w:sz w:val="26"/>
            <w:szCs w:val="26"/>
            <w:u w:val="none"/>
            <w:lang w:val="en-US"/>
          </w:rPr>
          <w:t>www</w:t>
        </w:r>
        <w:r>
          <w:rPr>
            <w:color w:val="auto"/>
            <w:sz w:val="26"/>
            <w:szCs w:val="26"/>
            <w:u w:val="none"/>
          </w:rPr>
          <w:t>.</w:t>
        </w:r>
        <w:r>
          <w:rPr>
            <w:color w:val="auto"/>
            <w:sz w:val="26"/>
            <w:szCs w:val="26"/>
            <w:u w:val="none"/>
            <w:lang w:val="en-US"/>
          </w:rPr>
          <w:t>dumakrur</w:t>
        </w:r>
        <w:r>
          <w:rPr>
            <w:color w:val="auto"/>
            <w:sz w:val="26"/>
            <w:szCs w:val="26"/>
            <w:u w:val="none"/>
          </w:rPr>
          <w:t>.</w:t>
        </w:r>
        <w:r>
          <w:rPr>
            <w:color w:val="auto"/>
            <w:sz w:val="26"/>
            <w:szCs w:val="26"/>
            <w:u w:val="none"/>
            <w:lang w:val="en-US"/>
          </w:rPr>
          <w:t>ru</w:t>
        </w:r>
      </w:hyperlink>
      <w:r>
        <w:rPr>
          <w:sz w:val="26"/>
          <w:szCs w:val="26"/>
        </w:rPr>
        <w:t>).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134" w:leader="none"/>
        </w:tabs>
        <w:suppressAutoHyphens w:val="true"/>
        <w:ind w:left="0" w:firstLine="709"/>
        <w:jc w:val="both"/>
        <w:rPr/>
      </w:pPr>
      <w:r>
        <w:rPr>
          <w:sz w:val="26"/>
          <w:szCs w:val="26"/>
        </w:rPr>
        <w:t xml:space="preserve">Контроль исполнения данного решения оставляю за собой.  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Spacing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</w:t>
      </w:r>
    </w:p>
    <w:p>
      <w:pPr>
        <w:sectPr>
          <w:type w:val="nextPage"/>
          <w:pgSz w:w="11906" w:h="16838"/>
          <w:pgMar w:left="1701" w:right="707" w:gutter="0" w:header="0" w:top="993" w:footer="0" w:bottom="875"/>
          <w:pgNumType w:fmt="decimal"/>
          <w:formProt w:val="false"/>
          <w:textDirection w:val="lrTb"/>
          <w:docGrid w:type="default" w:linePitch="360" w:charSpace="0"/>
        </w:sectPr>
        <w:pStyle w:val="NoSpacing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Красноуральск                                               А.В. Медведев    </w:t>
      </w:r>
    </w:p>
    <w:p>
      <w:pPr>
        <w:pStyle w:val="Normal"/>
        <w:suppressAutoHyphens w:val="false"/>
        <w:ind w:left="5529" w:hanging="0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Приложение 1</w:t>
      </w:r>
    </w:p>
    <w:p>
      <w:pPr>
        <w:pStyle w:val="Normal"/>
        <w:suppressAutoHyphens w:val="false"/>
        <w:ind w:left="5529" w:hanging="0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утверждено решением Думы</w:t>
      </w:r>
    </w:p>
    <w:p>
      <w:pPr>
        <w:pStyle w:val="Normal"/>
        <w:suppressAutoHyphens w:val="false"/>
        <w:ind w:left="5529" w:hanging="0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городского округа Красноуральск</w:t>
      </w:r>
    </w:p>
    <w:p>
      <w:pPr>
        <w:pStyle w:val="Normal"/>
        <w:suppressAutoHyphens w:val="false"/>
        <w:ind w:left="5529" w:hanging="0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от   </w:t>
      </w:r>
      <w:r>
        <w:rPr>
          <w:rFonts w:eastAsia="Calibri" w:eastAsiaTheme="minorHAnsi"/>
          <w:lang w:eastAsia="en-US"/>
        </w:rPr>
        <w:t>22</w:t>
      </w:r>
      <w:r>
        <w:rPr>
          <w:rFonts w:eastAsia="Calibri" w:eastAsiaTheme="minorHAnsi"/>
          <w:lang w:eastAsia="en-US"/>
        </w:rPr>
        <w:t xml:space="preserve"> </w:t>
      </w:r>
      <w:r>
        <w:rPr>
          <w:rFonts w:eastAsia="Calibri" w:eastAsiaTheme="minorHAnsi"/>
          <w:lang w:val="en-US" w:eastAsia="en-US"/>
        </w:rPr>
        <w:t xml:space="preserve"> июн</w:t>
      </w:r>
      <w:r>
        <w:rPr>
          <w:rFonts w:eastAsia="Calibri" w:eastAsiaTheme="minorHAnsi"/>
          <w:lang w:val="ru-RU" w:eastAsia="en-US"/>
        </w:rPr>
        <w:t xml:space="preserve">я </w:t>
      </w:r>
      <w:r>
        <w:rPr>
          <w:rFonts w:eastAsia="Calibri" w:eastAsiaTheme="minorHAnsi"/>
          <w:lang w:eastAsia="en-US"/>
        </w:rPr>
        <w:t>202</w:t>
      </w:r>
      <w:r>
        <w:rPr>
          <w:rFonts w:eastAsia="Calibri" w:eastAsiaTheme="minorHAnsi"/>
          <w:lang w:val="en-US" w:eastAsia="en-US"/>
        </w:rPr>
        <w:t>3</w:t>
      </w:r>
      <w:r>
        <w:rPr>
          <w:rFonts w:eastAsia="Calibri" w:eastAsiaTheme="minorHAnsi"/>
          <w:lang w:eastAsia="en-US"/>
        </w:rPr>
        <w:t xml:space="preserve"> года  № </w:t>
      </w:r>
      <w:r>
        <w:rPr>
          <w:rFonts w:eastAsia="Calibri" w:eastAsiaTheme="minorHAnsi"/>
          <w:lang w:eastAsia="en-US"/>
        </w:rPr>
        <w:t>75</w:t>
      </w:r>
    </w:p>
    <w:p>
      <w:pPr>
        <w:pStyle w:val="Normal"/>
        <w:suppressAutoHyphens w:val="false"/>
        <w:ind w:left="5529" w:hanging="0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uppressAutoHyphens w:val="false"/>
        <w:ind w:left="5529" w:hanging="0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uppressAutoHyphens w:val="false"/>
        <w:jc w:val="right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uppressAutoHyphens w:val="false"/>
        <w:jc w:val="center"/>
        <w:rPr>
          <w:rFonts w:eastAsia="Calibri" w:eastAsiaTheme="minorHAnsi"/>
          <w:b/>
          <w:sz w:val="26"/>
          <w:szCs w:val="26"/>
          <w:lang w:eastAsia="en-US"/>
        </w:rPr>
      </w:pPr>
      <w:r>
        <w:rPr>
          <w:rFonts w:eastAsia="Calibri" w:eastAsiaTheme="minorHAnsi"/>
          <w:b/>
          <w:sz w:val="26"/>
          <w:szCs w:val="26"/>
          <w:lang w:eastAsia="en-US"/>
        </w:rPr>
        <w:t xml:space="preserve">Примерный план работы </w:t>
      </w:r>
    </w:p>
    <w:p>
      <w:pPr>
        <w:pStyle w:val="Normal"/>
        <w:suppressAutoHyphens w:val="false"/>
        <w:jc w:val="center"/>
        <w:rPr>
          <w:rFonts w:eastAsia="Calibri" w:eastAsiaTheme="minorHAnsi"/>
          <w:b/>
          <w:sz w:val="26"/>
          <w:szCs w:val="26"/>
          <w:lang w:eastAsia="en-US"/>
        </w:rPr>
      </w:pPr>
      <w:r>
        <w:rPr>
          <w:rFonts w:eastAsia="Calibri" w:eastAsiaTheme="minorHAnsi"/>
          <w:b/>
          <w:sz w:val="26"/>
          <w:szCs w:val="26"/>
          <w:lang w:eastAsia="en-US"/>
        </w:rPr>
        <w:t xml:space="preserve">Думы городского округа Красноуральск на </w:t>
      </w:r>
      <w:r>
        <w:rPr>
          <w:rFonts w:eastAsia="Calibri" w:eastAsiaTheme="minorHAnsi"/>
          <w:b/>
          <w:sz w:val="26"/>
          <w:szCs w:val="26"/>
          <w:lang w:val="en-US" w:eastAsia="en-US"/>
        </w:rPr>
        <w:t>II</w:t>
      </w:r>
      <w:r>
        <w:rPr>
          <w:rFonts w:eastAsia="Calibri" w:eastAsiaTheme="minorHAnsi"/>
          <w:b/>
          <w:sz w:val="26"/>
          <w:szCs w:val="26"/>
          <w:lang w:eastAsia="en-US"/>
        </w:rPr>
        <w:t xml:space="preserve"> полугодие 2023 года</w:t>
      </w:r>
    </w:p>
    <w:p>
      <w:pPr>
        <w:pStyle w:val="Normal"/>
        <w:suppressAutoHyphens w:val="false"/>
        <w:jc w:val="center"/>
        <w:rPr>
          <w:rFonts w:eastAsia="Calibri" w:eastAsiaTheme="minorHAnsi"/>
          <w:b/>
          <w:sz w:val="16"/>
          <w:szCs w:val="16"/>
          <w:lang w:eastAsia="en-US"/>
        </w:rPr>
      </w:pPr>
      <w:r>
        <w:rPr>
          <w:rFonts w:eastAsia="Calibri" w:eastAsiaTheme="minorHAnsi"/>
          <w:b/>
          <w:sz w:val="16"/>
          <w:szCs w:val="16"/>
          <w:lang w:eastAsia="en-US"/>
        </w:rPr>
      </w:r>
    </w:p>
    <w:p>
      <w:pPr>
        <w:pStyle w:val="Normal"/>
        <w:suppressAutoHyphens w:val="false"/>
        <w:jc w:val="center"/>
        <w:rPr>
          <w:rFonts w:eastAsia="Calibri" w:eastAsiaTheme="minorHAnsi"/>
          <w:sz w:val="8"/>
          <w:szCs w:val="8"/>
          <w:lang w:eastAsia="en-US"/>
        </w:rPr>
      </w:pPr>
      <w:r>
        <w:rPr>
          <w:rFonts w:eastAsia="Calibri" w:eastAsiaTheme="minorHAnsi"/>
          <w:sz w:val="8"/>
          <w:szCs w:val="8"/>
          <w:lang w:eastAsia="en-US"/>
        </w:rPr>
      </w:r>
    </w:p>
    <w:tbl>
      <w:tblPr>
        <w:tblStyle w:val="a7"/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616"/>
        <w:gridCol w:w="26"/>
        <w:gridCol w:w="3577"/>
        <w:gridCol w:w="1247"/>
        <w:gridCol w:w="2123"/>
        <w:gridCol w:w="2158"/>
      </w:tblGrid>
      <w:tr>
        <w:trPr>
          <w:trHeight w:val="675" w:hRule="atLeast"/>
        </w:trPr>
        <w:tc>
          <w:tcPr>
            <w:tcW w:w="616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 w:eastAsiaTheme="minorHAnsi"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 xml:space="preserve">№ </w:t>
            </w: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>п/п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eastAsia="Calibri" w:eastAsiaTheme="minorHAnsi"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>Перечень вопросов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eastAsia="Calibri" w:eastAsiaTheme="minorHAnsi"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>Месяц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eastAsia="Calibri" w:eastAsiaTheme="minorHAnsi"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>Ответственные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eastAsia="Calibri" w:eastAsiaTheme="minorHAnsi"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>Примечание</w:t>
            </w:r>
          </w:p>
        </w:tc>
      </w:tr>
      <w:tr>
        <w:trPr/>
        <w:tc>
          <w:tcPr>
            <w:tcW w:w="9747" w:type="dxa"/>
            <w:gridSpan w:val="6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>Постоянная комиссия по экономической политике и бюджету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eastAsia="Calibri" w:eastAsiaTheme="minorHAnsi"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sz w:val="26"/>
                <w:szCs w:val="26"/>
                <w:lang w:eastAsia="en-US"/>
              </w:rPr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kern w:val="0"/>
                <w:sz w:val="24"/>
                <w:szCs w:val="24"/>
                <w:lang w:val="ru-RU" w:bidi="ar-SA"/>
              </w:rPr>
              <w:t>Об исполнении бюджета городского округа Красноуральск за 1 полугодие 202</w:t>
            </w:r>
            <w:r>
              <w:rPr>
                <w:kern w:val="0"/>
                <w:sz w:val="24"/>
                <w:szCs w:val="24"/>
                <w:lang w:val="en-US" w:bidi="ar-SA"/>
              </w:rPr>
              <w:t>3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 года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Сентябрь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kern w:val="0"/>
                <w:sz w:val="24"/>
                <w:szCs w:val="24"/>
                <w:lang w:val="ru-RU" w:bidi="ar-SA"/>
              </w:rPr>
              <w:t>Экспертиза и подготовка  заключения  на проект Решения Думы городского округа Красноуральск об исполнении местного бюджета за 1 полугодие 202</w:t>
            </w:r>
            <w:r>
              <w:rPr>
                <w:kern w:val="0"/>
                <w:sz w:val="24"/>
                <w:szCs w:val="24"/>
                <w:lang w:val="en-US" w:bidi="ar-SA"/>
              </w:rPr>
              <w:t>3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 года, подготовка информации о ходе исполнения местного бюджета за 1 полугодие  202</w:t>
            </w:r>
            <w:r>
              <w:rPr>
                <w:kern w:val="0"/>
                <w:sz w:val="24"/>
                <w:szCs w:val="24"/>
                <w:lang w:val="en-US" w:bidi="ar-SA"/>
              </w:rPr>
              <w:t>3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 года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Сентябрь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3603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kern w:val="0"/>
                <w:sz w:val="24"/>
                <w:szCs w:val="24"/>
                <w:lang w:val="ru-RU" w:bidi="ar-SA"/>
              </w:rPr>
              <w:t>О внесении изменений в решение Думы городского округа Красноуральск «О бюджете городского округа Красноуральск на 2023 год и плановый 2024 и 2025 годов»</w:t>
            </w:r>
          </w:p>
        </w:tc>
        <w:tc>
          <w:tcPr>
            <w:tcW w:w="124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Июль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Октябрь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Декабрь</w:t>
            </w:r>
          </w:p>
        </w:tc>
        <w:tc>
          <w:tcPr>
            <w:tcW w:w="212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kern w:val="0"/>
                <w:sz w:val="24"/>
                <w:szCs w:val="24"/>
                <w:lang w:val="ru-RU" w:bidi="ar-SA"/>
              </w:rPr>
              <w:t>Экспертиза проектов решений Думы городского округа Красноуральск о внесении изменений в местный бюджет на 2023 год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ind w:right="-67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По мере поступления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5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Информация о результатах контрольного мероприятия «Проверка полноты и своевременности поступления в бюджет городского округа Красноуральск средств от приватизации муниципального имущества за 2020-2022 г.г. (в рамках выполнения прогнозного плана приватизации муниципального имущества городского округа Красноуральск)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Октябрь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eastAsiaTheme="minorHAnsi"/>
                <w:sz w:val="24"/>
                <w:szCs w:val="24"/>
                <w:shd w:fill="auto" w:val="clear"/>
                <w:lang w:eastAsia="en-US"/>
              </w:rPr>
              <w:t>6</w:t>
            </w:r>
          </w:p>
        </w:tc>
        <w:tc>
          <w:tcPr>
            <w:tcW w:w="3603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Информация о результатах контрольного мероприятия «Проверка отдельных вопросов финансово-хозяйственной деятельности МУП «Красноуральское теплоснабжающее предприятие» за период 2020-2022 г.г.»</w:t>
            </w:r>
          </w:p>
        </w:tc>
        <w:tc>
          <w:tcPr>
            <w:tcW w:w="124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Октябрь</w:t>
            </w:r>
          </w:p>
        </w:tc>
        <w:tc>
          <w:tcPr>
            <w:tcW w:w="212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>
          <w:trHeight w:val="1232" w:hRule="atLeast"/>
        </w:trPr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eastAsiaTheme="minorHAnsi"/>
                <w:sz w:val="24"/>
                <w:szCs w:val="24"/>
                <w:shd w:fill="auto" w:val="clear"/>
                <w:lang w:eastAsia="en-US"/>
              </w:rPr>
              <w:t>7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kern w:val="0"/>
                <w:sz w:val="24"/>
                <w:szCs w:val="24"/>
                <w:lang w:val="ru-RU" w:bidi="ar-SA"/>
              </w:rPr>
              <w:t>Об исполнении бюджета городского округа Красноуральск за 9 месяцев 2023 года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Ноябрь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</w:t>
            </w:r>
          </w:p>
        </w:tc>
        <w:tc>
          <w:tcPr>
            <w:tcW w:w="3603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kern w:val="0"/>
                <w:sz w:val="24"/>
                <w:szCs w:val="24"/>
                <w:lang w:val="ru-RU" w:bidi="ar-SA"/>
              </w:rPr>
              <w:t>Экспертиза и подготовка  заключения  на проект Решения Думы городского округа Красноуральск об исполнении местного бюджета за 9 месяцев  2023 года, подготовка информации о ходе исполнения местного бюджета за 9 месяцев  2023 года</w:t>
            </w:r>
          </w:p>
        </w:tc>
        <w:tc>
          <w:tcPr>
            <w:tcW w:w="124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Ноябрь</w:t>
            </w:r>
          </w:p>
        </w:tc>
        <w:tc>
          <w:tcPr>
            <w:tcW w:w="212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9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kern w:val="0"/>
                <w:sz w:val="24"/>
                <w:szCs w:val="24"/>
                <w:lang w:val="ru-RU" w:bidi="ar-SA"/>
              </w:rPr>
              <w:t>О бюджете городского округа Красноуральск на 2024 год и плановый период 2025 и 2026 годов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ind w:right="-67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Декабрь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10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kern w:val="0"/>
                <w:sz w:val="24"/>
                <w:szCs w:val="24"/>
                <w:lang w:val="ru-RU" w:bidi="ar-SA"/>
              </w:rPr>
              <w:t>Экспертиза проекта решения «О бюджете городского округа Красноуральск на 2024 год и плановый период 2025 и 2026 годов»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ind w:right="-67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Декабрь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11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Финансово – экономическая экспертиза: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 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- проектов муниципальных правовых актов (включая обоснованность финансово-экономических обоснований) в части, касающейся расходных обязательств городского округа Красноуральск;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- проектов муниципальных программ, на финансирование которых планируются средства местного бюджета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-67" w:hanging="0"/>
              <w:jc w:val="left"/>
              <w:rPr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По мере поступления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12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Отчет о работе комиссии за 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II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полугодие 2023 года, планирование работы на                      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I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полугодие 2024 года.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 w:eastAsiaTheme="minorHAnsi"/>
                <w:i w:val="false"/>
                <w:i w:val="false"/>
                <w:iCs w:val="false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eastAsia="Calibri" w:eastAsiaTheme="minorHAnsi"/>
                <w:i w:val="false"/>
                <w:iCs w:val="false"/>
                <w:sz w:val="24"/>
                <w:szCs w:val="24"/>
                <w:shd w:fill="auto" w:val="clear"/>
              </w:rPr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-67" w:hanging="0"/>
              <w:jc w:val="both"/>
              <w:rPr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Декабрь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Комиссия по экономической политике и бюджету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Внесен постоянной комиссией</w:t>
            </w:r>
          </w:p>
        </w:tc>
      </w:tr>
      <w:tr>
        <w:trPr/>
        <w:tc>
          <w:tcPr>
            <w:tcW w:w="9747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eastAsiaTheme="minorHAnsi"/>
                <w:b/>
                <w:sz w:val="24"/>
                <w:szCs w:val="24"/>
                <w:highlight w:val="none"/>
                <w:shd w:fill="auto" w:val="clear"/>
                <w:lang w:eastAsia="en-US"/>
              </w:rPr>
            </w:pPr>
            <w:r>
              <w:rPr>
                <w:rFonts w:eastAsia="Calibri" w:eastAsiaTheme="minorHAnsi"/>
                <w:b/>
                <w:sz w:val="24"/>
                <w:szCs w:val="24"/>
                <w:shd w:fill="auto" w:val="clear"/>
                <w:lang w:eastAsia="en-U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eastAsiaTheme="minorHAnsi"/>
                <w:b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Постоянная комиссия по законодательству и местному самоуправлению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eastAsiaTheme="minorHAnsi"/>
                <w:b/>
                <w:sz w:val="24"/>
                <w:szCs w:val="24"/>
                <w:highlight w:val="none"/>
                <w:shd w:fill="auto" w:val="clear"/>
                <w:lang w:eastAsia="en-US"/>
              </w:rPr>
            </w:pPr>
            <w:r>
              <w:rPr>
                <w:rFonts w:eastAsia="Calibri" w:eastAsiaTheme="minorHAnsi"/>
                <w:b/>
                <w:sz w:val="24"/>
                <w:szCs w:val="24"/>
                <w:shd w:fill="auto" w:val="clear"/>
                <w:lang w:eastAsia="en-US"/>
              </w:rPr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1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О внесении изменений в решение Думы городского округа Красноуральск «Об утверждении Правил землепользования и застройки на территории городского округа Красноуральск»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Декабрь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2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О внесении изменений в решение Думы городского округа Красноуральск «Об утверждении Генерального плана городского округа Красноуральск»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Декабрь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Дума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председателем Думы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3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Об утверждении примерного плана работы Думы городского округа Красноуральск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 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на 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en-US" w:bidi="ar-SA"/>
              </w:rPr>
              <w:t>I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 полугодие 2024 года, графика приема граждан по месту жительства депутатами Думы городского округа Красноуральск на 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en-US" w:bidi="ar-SA"/>
              </w:rPr>
              <w:t>I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 полугодие 2024 года, графика проведения «горячих линий» депутатами Думы городского округа Красноуральск                  на                  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en-US" w:bidi="ar-SA"/>
              </w:rPr>
              <w:t>I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 полугодие 2024 года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Декабрь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Дума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председателем Думы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4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Отчет о работе комиссии за 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 xml:space="preserve">II 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полугодие 202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3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года, планирование работы на 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I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полугодие 202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4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года.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Декабрь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Комиссия по законодательству и местному самоуправлению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9747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eastAsiaTheme="minorHAnsi"/>
                <w:b/>
                <w:kern w:val="0"/>
                <w:sz w:val="24"/>
                <w:szCs w:val="24"/>
                <w:shd w:fill="auto" w:val="clear"/>
                <w:lang w:val="ru-RU" w:eastAsia="en-US" w:bidi="ar-SA"/>
              </w:rPr>
            </w:pPr>
            <w:r>
              <w:rPr>
                <w:rFonts w:eastAsia="Calibri" w:eastAsiaTheme="minorHAnsi"/>
                <w:b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eastAsiaTheme="minorHAnsi"/>
                <w:b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Постоянная комиссия по жилищно-коммунальному хозяйству,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eastAsiaTheme="minorHAnsi"/>
                <w:b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транспорту и благоустройству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eastAsiaTheme="minorHAnsi"/>
                <w:b/>
                <w:kern w:val="0"/>
                <w:sz w:val="24"/>
                <w:szCs w:val="24"/>
                <w:shd w:fill="auto" w:val="clear"/>
                <w:lang w:val="ru-RU" w:eastAsia="en-US" w:bidi="ar-SA"/>
              </w:rPr>
            </w:pPr>
            <w:r>
              <w:rPr>
                <w:rFonts w:eastAsia="Calibri" w:eastAsiaTheme="minorHAnsi"/>
                <w:b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ходе подготовки к  отопительному сезону 2022-2023 годов  объектов инженерной инфраструктуры и инженерных коммуникаций, объектов социального и культурного назначения ГО Красноуральск. Рассмотрение отчета о выполнении плана мероприятий по подготовке к отопительному сезону 2022-2023 годов.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ходе подготовке к отопительному сезону 2022-2023 годов жилищного фонда ГО Красноуральск управляющими компаниями.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ходе подготовке детских дошкольных учреждений и образовательных учреждений к работе в осенне-зимний период 2022-2023 годов.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по проведению дорожно-уличной сети в надлежащее состояние (состояние полотна дорог, установка знаков, светофоров, нанесение разметки и строительство искусственных неровностей).</w:t>
            </w:r>
          </w:p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ГО Красноуральск в областной программе по ремонту городских дорог, наличие ПСД с экспертизами проектов.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ходе проведения работ по капитальному ремонту многоквартирных домов на территории ГО Красноуральск в соответствии с областным законом № 127 от 17.12.2013г. «Об обеспечении проведения капитального ремонта общего имущества в многоквартирных домах на территории Свердловской области».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проделанной работе администрации ГО Красноуральск по подготовке ПСД для участие в областной программы «Развитие жилищно - коммунального хозяйства и повышения энергетической эффективности до 2025 года».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работе админи-страции ГО Красноуральск по газификации домов ГО Красноуральс, перспективные планы развития, наличия ПСД, экспертизы проектов.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проделанной работе администрации ГО Красноуральск по формированию участков, по предоставлению бесплатных земельных участков для индивидуального жилищного строительства льготной категории граждан. Информация о ходе выполнении программы ввода жилья на территории ГО Красноуральск.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итогах выполнении мероприятий по подготовке к отопительному сезону 2022-2023 годов.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выполнении плана ремонтных работ по подготовке  к отопительному сезону 2022-2023 годов жилищного фонда ГО Красноуральск управляющими.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ходе работ по инвентаризации имеющего на территории жилищного фонда, в том числе  ветхого и аварийного жилищного фонда и перспективах нового строительства и капитального ремонта имеющегося жилищного фонда на территории ГО Красноуральск в рамке региональной программы капитального ремонта жилищного фонда и региональной программы по переселению граждан из аварийного фонда.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подготовки МБУ «Муниципальный заказчик» техники и проводимых мероприятий по содержанию дорог в зимний период.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проделанной работе по распиловке тополей и планы на 2024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работе службы ЕДДС.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ходе проведения работ администрации ГО Красноуральск по инвентаризации, проведения государственного кадастрового учета дорог местного значения и регистрации муниципального права собственности.</w:t>
            </w:r>
          </w:p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проделанной работе администрации ГО Красноуральск по ремонту муниципальных дорог и планах на 2024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ходе проведения  отопительного сезона 2022-2023 годов на территории ГО Красноуральск. Информация о кредиторской задолженности за ТЭР и принятых мерах по работе с должниками.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об организации пассажирских перевозок на территории ГО Красноуральск и планируемых мероприятиях по улучшению работы в данном направлении.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8.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проделанной работе МУП «Красноуральское водоснабжающее предприятие» по оказании услуг населения по водоснабжению, водоотведению за прошедший период. Финансовая состояния на предприятии, претензионная работа, работа по модернизации производства.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Информации о проделанной работе администрации ГО Красноуральск по улучшения работы и сокращения затрат на содержания общежитий.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ходе выполнения администрации ГО Красноуральск муниципальных целевых программ на 2023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принятых мерах администрации ГО Красноуральск по уборке несанкционированных свалках.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принятых мерах администрации ГО Красноуральск по демонтажу и уборке бесхозных аварийных зданий и сооружений на территории ГО Красноуральск.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рассмотрении и утверждении тарифов на услуги ЖКХ на 2024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установлении ставок платы за жилое помещение населению ГО Красноуральск на 20</w:t>
            </w:r>
            <w:r>
              <w:rPr>
                <w:sz w:val="24"/>
                <w:szCs w:val="24"/>
                <w:lang w:val="en-US"/>
              </w:rPr>
              <w:t>24</w:t>
            </w:r>
            <w:r>
              <w:rPr>
                <w:sz w:val="24"/>
                <w:szCs w:val="24"/>
              </w:rPr>
              <w:t xml:space="preserve">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проделанной работе администрации ГО Красноуральск по реализации государственной программы «Доступная среда» и созданию условий для людей с ограниченным возможностями на территории ГО Красноуральск.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>
              <w:top w:val="nil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3603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перспективных планах по разработке схем газоснабжения и электроснабжения ГО Красноуральск и планируемых мероприятиях по модернизации в данных направлениях.</w:t>
            </w:r>
          </w:p>
        </w:tc>
        <w:tc>
          <w:tcPr>
            <w:tcW w:w="1247" w:type="dxa"/>
            <w:tcBorders>
              <w:top w:val="nil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2123" w:type="dxa"/>
            <w:tcBorders>
              <w:top w:val="nil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>
              <w:top w:val="nil"/>
            </w:tcBorders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>
              <w:top w:val="nil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3603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работе МУП «ГорЭС» за 2023 год и перспективные планы развития в области организации и улучшения электроснабжения на территории ГО Красноуральск в 2024 год.</w:t>
            </w:r>
          </w:p>
        </w:tc>
        <w:tc>
          <w:tcPr>
            <w:tcW w:w="1247" w:type="dxa"/>
            <w:tcBorders>
              <w:top w:val="nil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2123" w:type="dxa"/>
            <w:tcBorders>
              <w:top w:val="nil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>
              <w:top w:val="nil"/>
            </w:tcBorders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работе комиссии за 2 полугодие 2023 года и планирование работы комиссии на 1-ое полугодие 2024 года.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 депутатской комиссией</w:t>
            </w:r>
          </w:p>
        </w:tc>
      </w:tr>
      <w:tr>
        <w:trPr/>
        <w:tc>
          <w:tcPr>
            <w:tcW w:w="9747" w:type="dxa"/>
            <w:gridSpan w:val="6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eastAsia="Calibri"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="Calibri" w:eastAsiaTheme="minorHAnsi"/>
                <w:b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eastAsiaTheme="minorHAnsi"/>
                <w:b/>
                <w:kern w:val="0"/>
                <w:sz w:val="24"/>
                <w:szCs w:val="24"/>
                <w:lang w:val="ru-RU" w:eastAsia="en-US" w:bidi="ar-SA"/>
              </w:rPr>
              <w:t>Постоянная комиссия по социальной политике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left"/>
              <w:rPr>
                <w:rFonts w:eastAsia="Calibri"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="Calibri" w:eastAsiaTheme="minorHAnsi"/>
                <w:b/>
                <w:sz w:val="24"/>
                <w:szCs w:val="24"/>
                <w:lang w:eastAsia="en-US"/>
              </w:rPr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состоянии детской и подростковой преступности в 1 полугодии 2023 года в ГО Красноуральск и меры по ее профилактике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Сентябрь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Администрация ГО Красноуральск; ОМВД России по г. Красноуральск;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ТДКН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Об итогах работы по подготовке ОУ и ДДУ к новому учебному году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Сентябрь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МКУ «Управление образования»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Об итогах летней оздоровительной кампании и трудоустройства подростков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Сентябрь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Администрация ГО Красноуральск, МКУ «Управление культуры», МКУ «Управление образования», МКУ «УФКиС»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деятельности волонтерского движения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Октябрь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Администрация ГО Красноуральск, МКУ «Управление культуры»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деятельности детских и молодежных организаций на территории ГО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Октябрь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Администрация ГО Красноуральск, МКУ «Управление культуры»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Информация по реализации программы «Доступная среда» в 2023 году.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Ноябрь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Администрация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ходе выполнения программы занятости  населения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Ноябрь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Центр занятости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Об участии объектов социальной сферы в областных, региональных и Всероссийских мероприятиях на 2023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Декабрь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Администрация ГО Красноуральск, МКУ «Управление культуры», МКУ «Управление образования», МКУ «УФКиС»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9</w:t>
            </w:r>
          </w:p>
        </w:tc>
        <w:tc>
          <w:tcPr>
            <w:tcW w:w="3577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Отчет о работе комиссии за 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en-US" w:bidi="ar-SA"/>
              </w:rPr>
              <w:t xml:space="preserve">II 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полугодие 2023 года, планирование работы на 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en-US" w:bidi="ar-SA"/>
              </w:rPr>
              <w:t>I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 полугодие 2024 года.</w:t>
            </w:r>
          </w:p>
        </w:tc>
        <w:tc>
          <w:tcPr>
            <w:tcW w:w="1247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Декабрь</w:t>
            </w:r>
          </w:p>
        </w:tc>
        <w:tc>
          <w:tcPr>
            <w:tcW w:w="2123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Комиссия по социальной политике</w:t>
            </w:r>
          </w:p>
        </w:tc>
        <w:tc>
          <w:tcPr>
            <w:tcW w:w="2158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headerReference w:type="default" r:id="rId4"/>
      <w:type w:val="nextPage"/>
      <w:pgSz w:w="11906" w:h="16838"/>
      <w:pgMar w:left="1701" w:right="707" w:gutter="0" w:header="708" w:top="993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004073132"/>
    </w:sdtPr>
    <w:sdtContent>
      <w:p>
        <w:pPr>
          <w:pStyle w:val="Style23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</w:sdtContent>
  </w:sdt>
  <w:p>
    <w:pPr>
      <w:pStyle w:val="Style23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744" w:hanging="1035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3679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link w:val="11"/>
    <w:uiPriority w:val="99"/>
    <w:qFormat/>
    <w:rsid w:val="001542bc"/>
    <w:pPr>
      <w:widowControl w:val="false"/>
      <w:suppressAutoHyphens w:val="false"/>
      <w:spacing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  <w:lang w:eastAsia="ru-RU"/>
    </w:rPr>
  </w:style>
  <w:style w:type="paragraph" w:styleId="3">
    <w:name w:val="Heading 3"/>
    <w:basedOn w:val="Normal"/>
    <w:next w:val="Normal"/>
    <w:link w:val="31"/>
    <w:uiPriority w:val="9"/>
    <w:semiHidden/>
    <w:unhideWhenUsed/>
    <w:qFormat/>
    <w:rsid w:val="001542bc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>
    <w:name w:val="Hyperlink"/>
    <w:uiPriority w:val="99"/>
    <w:unhideWhenUsed/>
    <w:rsid w:val="00336792"/>
    <w:rPr>
      <w:color w:val="0563C1"/>
      <w:u w:val="single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041670"/>
    <w:rPr>
      <w:rFonts w:ascii="Segoe UI" w:hAnsi="Segoe UI" w:eastAsia="Times New Roman" w:cs="Segoe UI"/>
      <w:sz w:val="18"/>
      <w:szCs w:val="18"/>
      <w:lang w:eastAsia="ar-SA"/>
    </w:rPr>
  </w:style>
  <w:style w:type="character" w:styleId="Style13" w:customStyle="1">
    <w:name w:val="Верхний колонтитул Знак"/>
    <w:basedOn w:val="DefaultParagraphFont"/>
    <w:uiPriority w:val="99"/>
    <w:qFormat/>
    <w:rsid w:val="003922be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yle14" w:customStyle="1">
    <w:name w:val="Нижний колонтитул Знак"/>
    <w:basedOn w:val="DefaultParagraphFont"/>
    <w:uiPriority w:val="99"/>
    <w:semiHidden/>
    <w:qFormat/>
    <w:rsid w:val="003922be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yle15" w:customStyle="1">
    <w:name w:val="Гипертекстовая ссылка"/>
    <w:uiPriority w:val="99"/>
    <w:qFormat/>
    <w:rsid w:val="00851dc5"/>
    <w:rPr>
      <w:b/>
      <w:bCs/>
      <w:color w:val="008000"/>
    </w:rPr>
  </w:style>
  <w:style w:type="character" w:styleId="11" w:customStyle="1">
    <w:name w:val="Заголовок 1 Знак"/>
    <w:basedOn w:val="DefaultParagraphFont"/>
    <w:uiPriority w:val="9"/>
    <w:qFormat/>
    <w:rsid w:val="001542bc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31" w:customStyle="1">
    <w:name w:val="Заголовок 3 Знак"/>
    <w:basedOn w:val="DefaultParagraphFont"/>
    <w:uiPriority w:val="9"/>
    <w:semiHidden/>
    <w:qFormat/>
    <w:rsid w:val="001542bc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ar-SA"/>
    </w:rPr>
  </w:style>
  <w:style w:type="character" w:styleId="FontStyle112">
    <w:name w:val="Font Style112"/>
    <w:basedOn w:val="DefaultParagraphFont"/>
    <w:qFormat/>
    <w:rPr>
      <w:rFonts w:ascii="Times New Roman" w:hAnsi="Times New Roman" w:cs="Times New Roman"/>
      <w:b/>
      <w:bCs/>
      <w:sz w:val="30"/>
      <w:szCs w:val="30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onsTitle" w:customStyle="1">
    <w:name w:val="ConsTitle"/>
    <w:qFormat/>
    <w:rsid w:val="00336792"/>
    <w:pPr>
      <w:widowControl w:val="false"/>
      <w:suppressAutoHyphens w:val="true"/>
      <w:bidi w:val="0"/>
      <w:spacing w:lineRule="auto" w:line="240" w:before="0" w:after="0"/>
      <w:ind w:right="19772" w:hanging="0"/>
      <w:jc w:val="left"/>
    </w:pPr>
    <w:rPr>
      <w:rFonts w:ascii="Arial" w:hAnsi="Arial" w:eastAsia="Arial" w:cs="Arial"/>
      <w:b/>
      <w:bCs/>
      <w:color w:val="auto"/>
      <w:kern w:val="0"/>
      <w:sz w:val="16"/>
      <w:szCs w:val="16"/>
      <w:lang w:val="ru-RU" w:eastAsia="ar-SA" w:bidi="ar-SA"/>
    </w:rPr>
  </w:style>
  <w:style w:type="paragraph" w:styleId="Style21" w:customStyle="1">
    <w:name w:val="Таблицы (моноширинный)"/>
    <w:basedOn w:val="Normal"/>
    <w:next w:val="Normal"/>
    <w:qFormat/>
    <w:rsid w:val="00336792"/>
    <w:pPr>
      <w:widowControl w:val="false"/>
      <w:jc w:val="both"/>
    </w:pPr>
    <w:rPr>
      <w:rFonts w:ascii="Courier New" w:hAnsi="Courier New" w:cs="Courier New"/>
      <w:sz w:val="20"/>
      <w:szCs w:val="20"/>
    </w:rPr>
  </w:style>
  <w:style w:type="paragraph" w:styleId="NoSpacing">
    <w:name w:val="No Spacing"/>
    <w:uiPriority w:val="1"/>
    <w:qFormat/>
    <w:rsid w:val="0033679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336792"/>
    <w:pPr>
      <w:suppressAutoHyphens w:val="false"/>
      <w:spacing w:before="0" w:after="0"/>
      <w:ind w:left="720" w:hanging="0"/>
      <w:contextualSpacing/>
    </w:pPr>
    <w:rPr>
      <w:lang w:eastAsia="ru-RU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041670"/>
    <w:pPr/>
    <w:rPr>
      <w:rFonts w:ascii="Segoe UI" w:hAnsi="Segoe UI" w:cs="Segoe UI"/>
      <w:sz w:val="18"/>
      <w:szCs w:val="18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3"/>
    <w:uiPriority w:val="99"/>
    <w:unhideWhenUsed/>
    <w:rsid w:val="003922b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Style14"/>
    <w:uiPriority w:val="99"/>
    <w:semiHidden/>
    <w:unhideWhenUsed/>
    <w:rsid w:val="003922b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Title" w:customStyle="1">
    <w:name w:val="ConsPlusTitle"/>
    <w:qFormat/>
    <w:rsid w:val="00cf7287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val="ru-RU" w:eastAsia="ru-RU" w:bidi="ar-SA"/>
    </w:rPr>
  </w:style>
  <w:style w:type="paragraph" w:styleId="Style25">
    <w:name w:val="Содержимое таблицы"/>
    <w:basedOn w:val="Normal"/>
    <w:qFormat/>
    <w:pPr>
      <w:widowControl w:val="false"/>
      <w:suppressLineNumbers/>
    </w:pPr>
    <w:rPr/>
  </w:style>
  <w:style w:type="paragraph" w:styleId="Style26">
    <w:name w:val="Заголовок таблицы"/>
    <w:basedOn w:val="Style2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9905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dumakrur.ru/" TargetMode="External"/><Relationship Id="rId4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32A9D-065A-42A4-A176-AD38B219F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Application>LibreOffice/7.5.4.2$Windows_X86_64 LibreOffice_project/36ccfdc35048b057fd9854c757a8b67ec53977b6</Application>
  <AppVersion>15.0000</AppVersion>
  <Pages>9</Pages>
  <Words>1867</Words>
  <Characters>12891</Characters>
  <CharactersWithSpaces>14712</CharactersWithSpaces>
  <Paragraphs>310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2019-12-20T03:48:00Z</dcterms:created>
  <dc:creator>BuhDuma</dc:creator>
  <dc:description/>
  <dc:language>ru-RU</dc:language>
  <cp:lastModifiedBy/>
  <cp:lastPrinted>2023-06-19T15:09:54Z</cp:lastPrinted>
  <dcterms:modified xsi:type="dcterms:W3CDTF">2023-06-22T10:20:55Z</dcterms:modified>
  <cp:revision>167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